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1B37" w14:textId="30A87AA4" w:rsidR="00D74B1B" w:rsidRDefault="001E4FD5" w:rsidP="007E17A6">
      <w:pPr>
        <w:pStyle w:val="Title"/>
      </w:pPr>
      <w:r>
        <w:t>The Class Meeting</w:t>
      </w:r>
    </w:p>
    <w:p w14:paraId="4A75B91F" w14:textId="5D9A980A" w:rsidR="00187BB2" w:rsidRDefault="00187BB2" w:rsidP="007E17A6">
      <w:pPr>
        <w:pStyle w:val="Heading1"/>
      </w:pPr>
      <w:r>
        <w:t>Chapter 1: A New (Old) Kind of Small Group</w:t>
      </w:r>
    </w:p>
    <w:p w14:paraId="0EC79419" w14:textId="04E218CB" w:rsidR="00187BB2" w:rsidRDefault="00187BB2">
      <w:r>
        <w:t>Key points:</w:t>
      </w:r>
    </w:p>
    <w:p w14:paraId="70DDC59C" w14:textId="2E1EB46D" w:rsidR="00187BB2" w:rsidRDefault="00963B49">
      <w:r>
        <w:t>Church vitality is directly correlated to small groups</w:t>
      </w:r>
    </w:p>
    <w:p w14:paraId="6AFC82A7" w14:textId="371C9A16" w:rsidR="00963B49" w:rsidRDefault="006E2415" w:rsidP="006E2415">
      <w:pPr>
        <w:pStyle w:val="Heading2"/>
      </w:pPr>
      <w:r>
        <w:t>W</w:t>
      </w:r>
      <w:r w:rsidR="00963B49">
        <w:t>hat is a small group?</w:t>
      </w:r>
    </w:p>
    <w:p w14:paraId="7EB5D172" w14:textId="5D1D438C" w:rsidR="00963B49" w:rsidRDefault="00963B49">
      <w:r>
        <w:t>Types of groups:</w:t>
      </w:r>
    </w:p>
    <w:p w14:paraId="46B52973" w14:textId="228E2441" w:rsidR="00963B49" w:rsidRDefault="00963B49" w:rsidP="00963B49">
      <w:pPr>
        <w:pStyle w:val="ListParagraph"/>
        <w:numPr>
          <w:ilvl w:val="0"/>
          <w:numId w:val="1"/>
        </w:numPr>
      </w:pPr>
      <w:r>
        <w:t>Affinity groups</w:t>
      </w:r>
      <w:r w:rsidR="005737E8">
        <w:t xml:space="preserve">.  Least effective.  </w:t>
      </w:r>
    </w:p>
    <w:p w14:paraId="2F665C39" w14:textId="4284C8AB" w:rsidR="00963B49" w:rsidRDefault="005737E8" w:rsidP="00963B49">
      <w:pPr>
        <w:pStyle w:val="ListParagraph"/>
        <w:numPr>
          <w:ilvl w:val="0"/>
          <w:numId w:val="1"/>
        </w:numPr>
      </w:pPr>
      <w:r>
        <w:t>Information-driven groups</w:t>
      </w:r>
      <w:r w:rsidR="00001673">
        <w:t>.  Not the most effective way to help people become mature Christians</w:t>
      </w:r>
    </w:p>
    <w:p w14:paraId="7EA993E0" w14:textId="5D4A3F06" w:rsidR="005737E8" w:rsidRDefault="005737E8" w:rsidP="00963B49">
      <w:pPr>
        <w:pStyle w:val="ListParagraph"/>
        <w:numPr>
          <w:ilvl w:val="0"/>
          <w:numId w:val="1"/>
        </w:numPr>
      </w:pPr>
      <w:r>
        <w:t>Transformation-driven groups.</w:t>
      </w:r>
      <w:r w:rsidR="005A18F9">
        <w:t xml:space="preserve">  The most effective at making disciples, and churches should be invested in them  </w:t>
      </w:r>
    </w:p>
    <w:p w14:paraId="0460A08D" w14:textId="163C2023" w:rsidR="002900DD" w:rsidRDefault="002900DD" w:rsidP="00CC1ED9">
      <w:pPr>
        <w:pStyle w:val="Heading2"/>
      </w:pPr>
      <w:r>
        <w:t>Addicted to Curriculum</w:t>
      </w:r>
    </w:p>
    <w:p w14:paraId="1BA98C20" w14:textId="282D60DF" w:rsidR="002900DD" w:rsidRDefault="00F04D51" w:rsidP="002900DD">
      <w:r>
        <w:t>Disciple as an example.  “A major conviction of Disciple is that discipleship happens through studying the Bible.”</w:t>
      </w:r>
    </w:p>
    <w:p w14:paraId="6FEA1A6F" w14:textId="3FF20C6C" w:rsidR="00894BD0" w:rsidRDefault="00894BD0" w:rsidP="002900DD">
      <w:r>
        <w:t xml:space="preserve">Curriculum can become addicting.  </w:t>
      </w:r>
    </w:p>
    <w:p w14:paraId="43D36B25" w14:textId="54C7875C" w:rsidR="00590919" w:rsidRDefault="00590919" w:rsidP="002900DD">
      <w:r>
        <w:t xml:space="preserve">“But the Christian life is not </w:t>
      </w:r>
      <w:proofErr w:type="spellStart"/>
      <w:r>
        <w:t>primarilty</w:t>
      </w:r>
      <w:proofErr w:type="spellEnd"/>
      <w:r>
        <w:t xml:space="preserve"> about knowing the right things.  It is about living in Christ.</w:t>
      </w:r>
      <w:r w:rsidR="00C913D4">
        <w:t>”</w:t>
      </w:r>
    </w:p>
    <w:p w14:paraId="309D1BAE" w14:textId="400FD10A" w:rsidR="0087777D" w:rsidRDefault="00C913D4" w:rsidP="002900DD">
      <w:r>
        <w:t>Doctrine is essential to know how to live</w:t>
      </w:r>
      <w:r w:rsidR="0087777D">
        <w:t>.  But it’s not actually living.</w:t>
      </w:r>
    </w:p>
    <w:p w14:paraId="39D33623" w14:textId="17CE502F" w:rsidR="0087777D" w:rsidRDefault="0087777D" w:rsidP="00CC1ED9">
      <w:pPr>
        <w:pStyle w:val="Heading2"/>
      </w:pPr>
      <w:r>
        <w:t>Class Meetings Promote Active Faith</w:t>
      </w:r>
    </w:p>
    <w:p w14:paraId="60E6C69B" w14:textId="11793281" w:rsidR="0087777D" w:rsidRDefault="00AB2B64" w:rsidP="002900DD">
      <w:r>
        <w:t>Difference between active and passive postures.  “Curriculum dis</w:t>
      </w:r>
      <w:r w:rsidR="00B9106C">
        <w:t xml:space="preserve">tances the participants from their own </w:t>
      </w:r>
      <w:proofErr w:type="gramStart"/>
      <w:r w:rsidR="00B9106C">
        <w:t>lives.</w:t>
      </w:r>
      <w:r w:rsidR="00CC1ED9">
        <w:t>“</w:t>
      </w:r>
      <w:proofErr w:type="gramEnd"/>
      <w:r w:rsidR="00CC1ED9">
        <w:t xml:space="preserve">  </w:t>
      </w:r>
    </w:p>
    <w:p w14:paraId="5182007B" w14:textId="3A0F251D" w:rsidR="00CC1ED9" w:rsidRDefault="00CC1ED9" w:rsidP="00CC1ED9">
      <w:pPr>
        <w:pStyle w:val="Heading2"/>
      </w:pPr>
      <w:r>
        <w:t>The Goal of this Study</w:t>
      </w:r>
    </w:p>
    <w:p w14:paraId="720F9177" w14:textId="578B946A" w:rsidR="00912766" w:rsidRDefault="00912766" w:rsidP="00912766">
      <w:r>
        <w:t>Quote from Nick Weatherf</w:t>
      </w:r>
      <w:r w:rsidR="008217C9">
        <w:t>ord.</w:t>
      </w:r>
    </w:p>
    <w:p w14:paraId="20C9879E" w14:textId="66CBFB17" w:rsidR="00783C4B" w:rsidRDefault="00783C4B" w:rsidP="007E17A6">
      <w:pPr>
        <w:pStyle w:val="Heading2"/>
      </w:pPr>
      <w:r>
        <w:t>Discussion:</w:t>
      </w:r>
    </w:p>
    <w:p w14:paraId="3A6C7CFE" w14:textId="0619FEE2" w:rsidR="00783C4B" w:rsidRDefault="00783C4B" w:rsidP="00912766">
      <w:r>
        <w:t>Name, how long in the church, why are you here?</w:t>
      </w:r>
    </w:p>
    <w:p w14:paraId="2E53CA17" w14:textId="4AC6F226" w:rsidR="00783C4B" w:rsidRDefault="008F21EC" w:rsidP="00912766">
      <w:r>
        <w:t xml:space="preserve">General thoughts and responses.  Strengths and weakness of the three types of groups.  </w:t>
      </w:r>
      <w:r w:rsidR="00BE5E46">
        <w:t>Which type do you have the most experience with?  Do you agree with the transformation thesis?</w:t>
      </w:r>
    </w:p>
    <w:p w14:paraId="488915C2" w14:textId="77777777" w:rsidR="00C13EEF" w:rsidRDefault="00BE5E46" w:rsidP="00C13EEF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t xml:space="preserve">Transformation Question:  </w:t>
      </w:r>
      <w:r w:rsidR="00C13EEF">
        <w:rPr>
          <w:rFonts w:ascii="Whitman-RomanLF" w:hAnsi="Whitman-RomanLF" w:cs="Whitman-RomanLF"/>
          <w:sz w:val="21"/>
          <w:szCs w:val="21"/>
        </w:rPr>
        <w:t>On a scale of 1 to 10 (1 being the farthest you have</w:t>
      </w:r>
    </w:p>
    <w:p w14:paraId="4E14830D" w14:textId="77777777" w:rsidR="00C13EEF" w:rsidRDefault="00C13EEF" w:rsidP="00C13EEF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ever felt from God, 10 being the closest you have ever</w:t>
      </w:r>
    </w:p>
    <w:p w14:paraId="03F45FD2" w14:textId="77777777" w:rsidR="00C13EEF" w:rsidRDefault="00C13EEF" w:rsidP="00C13EEF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felt to God) what number would you give to how close</w:t>
      </w:r>
    </w:p>
    <w:p w14:paraId="484E9E25" w14:textId="6BE5245E" w:rsidR="00BE5E46" w:rsidRDefault="00C13EEF" w:rsidP="00C13EEF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you feel to God today? Why?</w:t>
      </w:r>
    </w:p>
    <w:p w14:paraId="50B11AC4" w14:textId="355CAB58" w:rsidR="007E17A6" w:rsidRDefault="007E17A6" w:rsidP="00C13EEF">
      <w:pPr>
        <w:rPr>
          <w:rFonts w:ascii="Whitman-RomanLF" w:hAnsi="Whitman-RomanLF" w:cs="Whitman-RomanLF"/>
          <w:sz w:val="21"/>
          <w:szCs w:val="21"/>
        </w:rPr>
      </w:pPr>
    </w:p>
    <w:p w14:paraId="3F261627" w14:textId="01606AD9" w:rsidR="007E17A6" w:rsidRDefault="007E17A6" w:rsidP="007E17A6">
      <w:pPr>
        <w:pStyle w:val="Heading1"/>
      </w:pPr>
      <w:r>
        <w:t>Chapter 2:  The Class Meeting: The Heart of the Methodist Revival</w:t>
      </w:r>
    </w:p>
    <w:p w14:paraId="6AEFB476" w14:textId="6D529E49" w:rsidR="007E17A6" w:rsidRDefault="00FF0CBB" w:rsidP="007E17A6">
      <w:r>
        <w:t>George Whitfield.</w:t>
      </w:r>
      <w:r w:rsidR="0040435D">
        <w:t xml:space="preserve">  “My people are a rope of sand.”  </w:t>
      </w:r>
    </w:p>
    <w:p w14:paraId="4A30D873" w14:textId="77777777" w:rsidR="001D6563" w:rsidRDefault="00CB16B9" w:rsidP="001D656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lastRenderedPageBreak/>
        <w:t xml:space="preserve">Statistics on growth of Methodism.  </w:t>
      </w:r>
      <w:r w:rsidR="00E32740">
        <w:t>“</w:t>
      </w:r>
      <w:proofErr w:type="gramStart"/>
      <w:r w:rsidR="00E32740">
        <w:t>throughout</w:t>
      </w:r>
      <w:proofErr w:type="gramEnd"/>
      <w:r w:rsidR="00E32740">
        <w:t xml:space="preserve"> the period of this growth, every Methodist was expected to participate in a weekly class meeting.”  </w:t>
      </w:r>
      <w:r w:rsidR="001D6563">
        <w:rPr>
          <w:rFonts w:ascii="Whitman-RomanLF" w:hAnsi="Whitman-RomanLF" w:cs="Whitman-RomanLF"/>
          <w:sz w:val="21"/>
          <w:szCs w:val="21"/>
        </w:rPr>
        <w:t>A strong case can be made that the class meeting was the</w:t>
      </w:r>
    </w:p>
    <w:p w14:paraId="4EEC848D" w14:textId="77777777" w:rsidR="001D6563" w:rsidRDefault="001D6563" w:rsidP="001D656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single most important factor to the growth of early Methodism</w:t>
      </w:r>
    </w:p>
    <w:p w14:paraId="62A5E7B8" w14:textId="77777777" w:rsidR="001D6563" w:rsidRDefault="001D6563" w:rsidP="001D656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and to the retention of converts within Methodism. People who</w:t>
      </w:r>
    </w:p>
    <w:p w14:paraId="11B75729" w14:textId="77777777" w:rsidR="001D6563" w:rsidRDefault="001D6563" w:rsidP="001D656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had come to faith in Christ were immediately placed in a class</w:t>
      </w:r>
    </w:p>
    <w:p w14:paraId="41978727" w14:textId="77777777" w:rsidR="001D6563" w:rsidRDefault="001D6563" w:rsidP="001D656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meeting, where they would be helped to grow in their faith and</w:t>
      </w:r>
    </w:p>
    <w:p w14:paraId="158F39A7" w14:textId="3667F594" w:rsidR="00CB16B9" w:rsidRDefault="001D6563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where they would learn how to practice their faith.</w:t>
      </w:r>
    </w:p>
    <w:p w14:paraId="5F12766D" w14:textId="6752844B" w:rsidR="006A2ED3" w:rsidRDefault="006A2ED3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From additional readings</w:t>
      </w:r>
    </w:p>
    <w:p w14:paraId="63AA2FA6" w14:textId="0554DAB3" w:rsidR="00B37DFF" w:rsidRDefault="00C308F7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John Wesley’s Class Meeting: A Model for Making Disciples</w:t>
      </w:r>
    </w:p>
    <w:p w14:paraId="2356BB94" w14:textId="41451282" w:rsidR="00C308F7" w:rsidRDefault="008E56BE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From his mother:  emphasis on discipline and “method.”</w:t>
      </w:r>
      <w:r w:rsidR="00E44429">
        <w:rPr>
          <w:rFonts w:ascii="Whitman-RomanLF" w:hAnsi="Whitman-RomanLF" w:cs="Whitman-RomanLF"/>
          <w:sz w:val="21"/>
          <w:szCs w:val="21"/>
        </w:rPr>
        <w:t xml:space="preserve"> Susanna Wesley.</w:t>
      </w:r>
      <w:r w:rsidR="00B10AA7">
        <w:rPr>
          <w:rFonts w:ascii="Whitman-RomanLF" w:hAnsi="Whitman-RomanLF" w:cs="Whitman-RomanLF"/>
          <w:sz w:val="21"/>
          <w:szCs w:val="21"/>
        </w:rPr>
        <w:t xml:space="preserve">  </w:t>
      </w:r>
      <w:r w:rsidR="00413003">
        <w:rPr>
          <w:rFonts w:ascii="Whitman-RomanLF" w:hAnsi="Whitman-RomanLF" w:cs="Whitman-RomanLF"/>
          <w:sz w:val="21"/>
          <w:szCs w:val="21"/>
        </w:rPr>
        <w:t>Bookmark p. 27</w:t>
      </w:r>
    </w:p>
    <w:p w14:paraId="11E3D5FE" w14:textId="243B776D" w:rsidR="00413003" w:rsidRDefault="00413003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Methodist groupings: societies.  </w:t>
      </w:r>
      <w:r w:rsidR="00DB4C4E">
        <w:rPr>
          <w:rFonts w:ascii="Whitman-RomanLF" w:hAnsi="Whitman-RomanLF" w:cs="Whitman-RomanLF"/>
          <w:sz w:val="21"/>
          <w:szCs w:val="21"/>
        </w:rPr>
        <w:t>Bookmark p. 77</w:t>
      </w:r>
    </w:p>
    <w:p w14:paraId="1BDB0184" w14:textId="77777777" w:rsidR="006A2ED3" w:rsidRDefault="006A2ED3" w:rsidP="001D6563">
      <w:pPr>
        <w:rPr>
          <w:rFonts w:ascii="Whitman-RomanLF" w:hAnsi="Whitman-RomanLF" w:cs="Whitman-RomanLF"/>
          <w:sz w:val="21"/>
          <w:szCs w:val="21"/>
        </w:rPr>
      </w:pPr>
    </w:p>
    <w:p w14:paraId="16CE3AC6" w14:textId="77777777" w:rsidR="006A2ED3" w:rsidRDefault="006A2ED3" w:rsidP="001D6563">
      <w:pPr>
        <w:rPr>
          <w:rFonts w:ascii="Whitman-RomanLF" w:hAnsi="Whitman-RomanLF" w:cs="Whitman-RomanLF"/>
          <w:sz w:val="21"/>
          <w:szCs w:val="21"/>
        </w:rPr>
      </w:pPr>
    </w:p>
    <w:p w14:paraId="3224B6C8" w14:textId="77777777" w:rsidR="006A2ED3" w:rsidRDefault="006A2ED3" w:rsidP="001D6563">
      <w:pPr>
        <w:rPr>
          <w:rFonts w:ascii="Whitman-RomanLF" w:hAnsi="Whitman-RomanLF" w:cs="Whitman-RomanLF"/>
          <w:sz w:val="21"/>
          <w:szCs w:val="21"/>
        </w:rPr>
      </w:pPr>
    </w:p>
    <w:p w14:paraId="17981A7C" w14:textId="77777777" w:rsidR="006A2ED3" w:rsidRDefault="006A2ED3" w:rsidP="001D6563">
      <w:pPr>
        <w:rPr>
          <w:rFonts w:ascii="Whitman-RomanLF" w:hAnsi="Whitman-RomanLF" w:cs="Whitman-RomanLF"/>
          <w:sz w:val="21"/>
          <w:szCs w:val="21"/>
        </w:rPr>
      </w:pPr>
    </w:p>
    <w:p w14:paraId="4D450036" w14:textId="4584ED80" w:rsidR="00A47098" w:rsidRDefault="009D7EAA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The Early Methodist Class Meeting” “Watching Over One Another in Love.”  </w:t>
      </w:r>
    </w:p>
    <w:p w14:paraId="5FE6B8A4" w14:textId="1125A9B3" w:rsidR="00EB6E65" w:rsidRDefault="00EB6E65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Started as a fund-raiser in 1742.</w:t>
      </w:r>
    </w:p>
    <w:p w14:paraId="6CEBE9DA" w14:textId="65F2758D" w:rsidR="00EB6E65" w:rsidRDefault="00EB6E65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The General Rules.  </w:t>
      </w:r>
      <w:r w:rsidR="00514762">
        <w:rPr>
          <w:rFonts w:ascii="Whitman-RomanLF" w:hAnsi="Whitman-RomanLF" w:cs="Whitman-RomanLF"/>
          <w:sz w:val="21"/>
          <w:szCs w:val="21"/>
        </w:rPr>
        <w:t xml:space="preserve">The last one is to “attend upon the ordinances of God.”   </w:t>
      </w:r>
    </w:p>
    <w:p w14:paraId="2194886D" w14:textId="3543C34C" w:rsidR="00A46503" w:rsidRDefault="00A46503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To be a Methodist meant that you were involved in a weekly class meeting.</w:t>
      </w:r>
    </w:p>
    <w:p w14:paraId="03A7FB16" w14:textId="7671C5E3" w:rsidR="00A7012C" w:rsidRDefault="00A7012C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Details:</w:t>
      </w:r>
    </w:p>
    <w:p w14:paraId="05C19A04" w14:textId="27864C5C" w:rsidR="00A7012C" w:rsidRDefault="00A7012C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7-12 members</w:t>
      </w:r>
    </w:p>
    <w:p w14:paraId="662C4015" w14:textId="15B55D3B" w:rsidR="00A7012C" w:rsidRDefault="00A7012C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Mixed gender</w:t>
      </w:r>
    </w:p>
    <w:p w14:paraId="69C66B6F" w14:textId="57F73510" w:rsidR="00A7012C" w:rsidRDefault="00A7012C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Organized by location.  </w:t>
      </w:r>
    </w:p>
    <w:p w14:paraId="41BB90E9" w14:textId="5FD8A528" w:rsidR="00F60C8B" w:rsidRDefault="00F60C8B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Three responsibilities:  Held people accountable to keep the General Rules</w:t>
      </w:r>
    </w:p>
    <w:p w14:paraId="1544DFED" w14:textId="0921420C" w:rsidR="00F60C8B" w:rsidRDefault="00F60C8B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Encourage to give weekly relief to the poor.  </w:t>
      </w:r>
      <w:r w:rsidR="00765504">
        <w:rPr>
          <w:rFonts w:ascii="Whitman-RomanLF" w:hAnsi="Whitman-RomanLF" w:cs="Whitman-RomanLF"/>
          <w:sz w:val="21"/>
          <w:szCs w:val="21"/>
        </w:rPr>
        <w:t>Answer the question, “How is it with your soul?”</w:t>
      </w:r>
    </w:p>
    <w:p w14:paraId="5BEF8C57" w14:textId="12CAE8F3" w:rsidR="00765504" w:rsidRDefault="00765504" w:rsidP="001D656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Not Bible or book studies.  </w:t>
      </w:r>
    </w:p>
    <w:p w14:paraId="773043B8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Wesley felt that the class meeting was so important that he</w:t>
      </w:r>
    </w:p>
    <w:p w14:paraId="11A2D19F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believed that its decline would weaken Methodism itself. He</w:t>
      </w:r>
    </w:p>
    <w:p w14:paraId="2E508A45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wrote, “Never omit meeting your Class or Band; never absent</w:t>
      </w:r>
    </w:p>
    <w:p w14:paraId="62D533CF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yourself from any public meeting. These are the very sinews of </w:t>
      </w:r>
      <w:proofErr w:type="gramStart"/>
      <w:r>
        <w:rPr>
          <w:rFonts w:ascii="Whitman-RomanLF" w:hAnsi="Whitman-RomanLF" w:cs="Whitman-RomanLF"/>
          <w:sz w:val="21"/>
          <w:szCs w:val="21"/>
        </w:rPr>
        <w:t>our</w:t>
      </w:r>
      <w:proofErr w:type="gramEnd"/>
    </w:p>
    <w:p w14:paraId="283175A0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proofErr w:type="gramStart"/>
      <w:r>
        <w:rPr>
          <w:rFonts w:ascii="Whitman-RomanLF" w:hAnsi="Whitman-RomanLF" w:cs="Whitman-RomanLF"/>
          <w:sz w:val="21"/>
          <w:szCs w:val="21"/>
        </w:rPr>
        <w:t>Society;</w:t>
      </w:r>
      <w:proofErr w:type="gramEnd"/>
      <w:r>
        <w:rPr>
          <w:rFonts w:ascii="Whitman-RomanLF" w:hAnsi="Whitman-RomanLF" w:cs="Whitman-RomanLF"/>
          <w:sz w:val="21"/>
          <w:szCs w:val="21"/>
        </w:rPr>
        <w:t xml:space="preserve"> and whatever weakens, or tends to weaken, our regard</w:t>
      </w:r>
    </w:p>
    <w:p w14:paraId="0C7A4469" w14:textId="77777777" w:rsidR="00734760" w:rsidRDefault="00734760" w:rsidP="0073476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for these, or our exactness in attending them, strikes at the very</w:t>
      </w:r>
    </w:p>
    <w:p w14:paraId="0D576EF9" w14:textId="6E7D8C1F" w:rsidR="004111AB" w:rsidRDefault="00734760" w:rsidP="00734760">
      <w:pPr>
        <w:rPr>
          <w:rFonts w:ascii="Whitman-RomanLF" w:hAnsi="Whitman-RomanLF" w:cs="Whitman-RomanLF"/>
          <w:sz w:val="12"/>
          <w:szCs w:val="12"/>
        </w:rPr>
      </w:pPr>
      <w:r>
        <w:rPr>
          <w:rFonts w:ascii="Whitman-RomanLF" w:hAnsi="Whitman-RomanLF" w:cs="Whitman-RomanLF"/>
          <w:sz w:val="21"/>
          <w:szCs w:val="21"/>
        </w:rPr>
        <w:t>root of our community.”</w:t>
      </w:r>
      <w:r>
        <w:rPr>
          <w:rFonts w:ascii="Whitman-RomanLF" w:hAnsi="Whitman-RomanLF" w:cs="Whitman-RomanLF"/>
          <w:sz w:val="12"/>
          <w:szCs w:val="12"/>
        </w:rPr>
        <w:t>11</w:t>
      </w:r>
    </w:p>
    <w:p w14:paraId="617566DD" w14:textId="0ED8402C" w:rsidR="00E8379E" w:rsidRDefault="00E8379E" w:rsidP="00734760">
      <w:pPr>
        <w:rPr>
          <w:rFonts w:ascii="Whitman-RomanLF" w:hAnsi="Whitman-RomanLF" w:cs="Whitman-RomanLF"/>
          <w:sz w:val="12"/>
          <w:szCs w:val="12"/>
        </w:rPr>
      </w:pPr>
    </w:p>
    <w:p w14:paraId="2D06DEF5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4"/>
          <w:szCs w:val="24"/>
        </w:rPr>
      </w:pPr>
      <w:r>
        <w:rPr>
          <w:rFonts w:ascii="Neutraface2Text-Book" w:hAnsi="Neutraface2Text-Book" w:cs="Neutraface2Text-Book"/>
          <w:sz w:val="24"/>
          <w:szCs w:val="24"/>
        </w:rPr>
        <w:t>Organization:</w:t>
      </w:r>
    </w:p>
    <w:p w14:paraId="7BA41546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lastRenderedPageBreak/>
        <w:t>:00–:15 Informal Conversation</w:t>
      </w:r>
    </w:p>
    <w:p w14:paraId="60D10814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Open with a Prayer</w:t>
      </w:r>
    </w:p>
    <w:p w14:paraId="4E2FC59A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:15–1:00 Questions for Discussion</w:t>
      </w:r>
    </w:p>
    <w:p w14:paraId="19BC72B9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1. What were your general thoughts or reactions to</w:t>
      </w:r>
    </w:p>
    <w:p w14:paraId="6D89EB83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this chapter? Was anything particularly exciting or</w:t>
      </w:r>
    </w:p>
    <w:p w14:paraId="5F1CE54B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challenging to you? Why?</w:t>
      </w:r>
    </w:p>
    <w:p w14:paraId="72954CE1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2. This chapter suggests that one reason people</w:t>
      </w:r>
    </w:p>
    <w:p w14:paraId="64B33D63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who came to faith in Jesus through </w:t>
      </w:r>
      <w:proofErr w:type="gramStart"/>
      <w:r>
        <w:rPr>
          <w:rFonts w:ascii="Whitman-RomanLF" w:hAnsi="Whitman-RomanLF" w:cs="Whitman-RomanLF"/>
          <w:sz w:val="21"/>
          <w:szCs w:val="21"/>
        </w:rPr>
        <w:t>Methodist</w:t>
      </w:r>
      <w:proofErr w:type="gramEnd"/>
    </w:p>
    <w:p w14:paraId="4B46DD4D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preaching persevered in their faith was because</w:t>
      </w:r>
    </w:p>
    <w:p w14:paraId="78A4A0BF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they were organized into small groups. How could</w:t>
      </w:r>
    </w:p>
    <w:p w14:paraId="5EB7AE0E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your church </w:t>
      </w:r>
      <w:proofErr w:type="gramStart"/>
      <w:r>
        <w:rPr>
          <w:rFonts w:ascii="Whitman-RomanLF" w:hAnsi="Whitman-RomanLF" w:cs="Whitman-RomanLF"/>
          <w:sz w:val="21"/>
          <w:szCs w:val="21"/>
        </w:rPr>
        <w:t>do</w:t>
      </w:r>
      <w:proofErr w:type="gramEnd"/>
      <w:r>
        <w:rPr>
          <w:rFonts w:ascii="Whitman-RomanLF" w:hAnsi="Whitman-RomanLF" w:cs="Whitman-RomanLF"/>
          <w:sz w:val="21"/>
          <w:szCs w:val="21"/>
        </w:rPr>
        <w:t xml:space="preserve"> a better job of helping people grow</w:t>
      </w:r>
    </w:p>
    <w:p w14:paraId="479D33DD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and mature in their faith?</w:t>
      </w:r>
    </w:p>
    <w:p w14:paraId="74DB8AE3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3. Were you previously familiar with the class</w:t>
      </w:r>
    </w:p>
    <w:p w14:paraId="256C0BFF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meeting and its history in Methodism? Why do</w:t>
      </w:r>
    </w:p>
    <w:p w14:paraId="3D14EDE9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you think the class meeting was so important to</w:t>
      </w:r>
    </w:p>
    <w:p w14:paraId="66F7C6EE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early Methodist growth and discipleship?</w:t>
      </w:r>
    </w:p>
    <w:p w14:paraId="4A9776A5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4. What obstacles do you see that might make it difficult</w:t>
      </w:r>
    </w:p>
    <w:p w14:paraId="2FAF7E25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for your church to return to a practice like the</w:t>
      </w:r>
    </w:p>
    <w:p w14:paraId="7A8721FC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early Methodist class meeting? How could these</w:t>
      </w:r>
    </w:p>
    <w:p w14:paraId="2D2FCADE" w14:textId="1B104A5D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obstacles be most effectively </w:t>
      </w:r>
      <w:proofErr w:type="gramStart"/>
      <w:r>
        <w:rPr>
          <w:rFonts w:ascii="Whitman-RomanLF" w:hAnsi="Whitman-RomanLF" w:cs="Whitman-RomanLF"/>
          <w:sz w:val="21"/>
          <w:szCs w:val="21"/>
        </w:rPr>
        <w:t>addressed?</w:t>
      </w:r>
      <w:proofErr w:type="gramEnd"/>
    </w:p>
    <w:p w14:paraId="5B0195AB" w14:textId="66D7B0B0" w:rsidR="00C80D0F" w:rsidRDefault="00C80D0F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</w:p>
    <w:p w14:paraId="7BA23B88" w14:textId="3B4674E9" w:rsidR="00C80D0F" w:rsidRDefault="00A92414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Dan’s questions:</w:t>
      </w:r>
    </w:p>
    <w:p w14:paraId="36C806C4" w14:textId="087856A8" w:rsidR="00A92414" w:rsidRDefault="00A92414" w:rsidP="00A92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Why did it succeed?</w:t>
      </w:r>
    </w:p>
    <w:p w14:paraId="0BA11F69" w14:textId="7F417E39" w:rsidR="00A92414" w:rsidRDefault="00A92414" w:rsidP="00A92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Why did it drop out of favor?</w:t>
      </w:r>
    </w:p>
    <w:p w14:paraId="0E94406E" w14:textId="77777777" w:rsidR="00233F64" w:rsidRPr="00233F64" w:rsidRDefault="00233F64" w:rsidP="00233F6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</w:p>
    <w:p w14:paraId="67530B07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90909"/>
        </w:rPr>
      </w:pPr>
      <w:r w:rsidRPr="00233F64">
        <w:rPr>
          <w:rFonts w:ascii="Times New Roman" w:hAnsi="Times New Roman" w:cs="Times New Roman"/>
          <w:b/>
          <w:bCs/>
          <w:color w:val="090909"/>
        </w:rPr>
        <w:t>THE DECLINE OF THE CLASS MEETING</w:t>
      </w:r>
    </w:p>
    <w:p w14:paraId="77DAF184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90909"/>
          <w:sz w:val="18"/>
          <w:szCs w:val="18"/>
        </w:rPr>
      </w:pPr>
      <w:r w:rsidRPr="00233F64">
        <w:rPr>
          <w:rFonts w:ascii="Arial" w:hAnsi="Arial" w:cs="Arial"/>
          <w:color w:val="090909"/>
          <w:sz w:val="18"/>
          <w:szCs w:val="18"/>
        </w:rPr>
        <w:t>CHARLES EDWARD WHITE</w:t>
      </w:r>
    </w:p>
    <w:p w14:paraId="25705D53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</w:rPr>
      </w:pPr>
      <w:r w:rsidRPr="00233F64">
        <w:rPr>
          <w:rFonts w:ascii="Times New Roman" w:hAnsi="Times New Roman" w:cs="Times New Roman"/>
          <w:color w:val="090909"/>
        </w:rPr>
        <w:t>Looking back over the 170 years of existence of the Methodist Church</w:t>
      </w:r>
    </w:p>
    <w:p w14:paraId="62B9031B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</w:rPr>
      </w:pPr>
      <w:r w:rsidRPr="00233F64">
        <w:rPr>
          <w:rFonts w:ascii="Times New Roman" w:hAnsi="Times New Roman" w:cs="Times New Roman"/>
          <w:color w:val="090909"/>
        </w:rPr>
        <w:t xml:space="preserve">in 1909, historian </w:t>
      </w:r>
      <w:proofErr w:type="spellStart"/>
      <w:r w:rsidRPr="00233F64">
        <w:rPr>
          <w:rFonts w:ascii="Times New Roman" w:hAnsi="Times New Roman" w:cs="Times New Roman"/>
          <w:color w:val="090909"/>
        </w:rPr>
        <w:t>Waddy</w:t>
      </w:r>
      <w:proofErr w:type="spellEnd"/>
      <w:r w:rsidRPr="00233F64">
        <w:rPr>
          <w:rFonts w:ascii="Times New Roman" w:hAnsi="Times New Roman" w:cs="Times New Roman"/>
          <w:color w:val="090909"/>
        </w:rPr>
        <w:t xml:space="preserve"> Moss wrote:</w:t>
      </w:r>
    </w:p>
    <w:p w14:paraId="6EB9075C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Methodist has been faithful to its mission. That was defined by John Wesley as the</w:t>
      </w:r>
    </w:p>
    <w:p w14:paraId="4B5C4B7C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spread of Scriptural holiness; and amongst the most characteristic means he employed</w:t>
      </w:r>
    </w:p>
    <w:p w14:paraId="2EC89FA7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 xml:space="preserve">was the </w:t>
      </w:r>
      <w:proofErr w:type="gramStart"/>
      <w:r w:rsidRPr="00233F64">
        <w:rPr>
          <w:rFonts w:ascii="Times New Roman" w:hAnsi="Times New Roman" w:cs="Times New Roman"/>
          <w:color w:val="090909"/>
          <w:sz w:val="20"/>
          <w:szCs w:val="20"/>
        </w:rPr>
        <w:t>gathering together</w:t>
      </w:r>
      <w:proofErr w:type="gramEnd"/>
      <w:r w:rsidRPr="00233F64">
        <w:rPr>
          <w:rFonts w:ascii="Times New Roman" w:hAnsi="Times New Roman" w:cs="Times New Roman"/>
          <w:color w:val="090909"/>
          <w:sz w:val="20"/>
          <w:szCs w:val="20"/>
        </w:rPr>
        <w:t xml:space="preserve"> of seriously minded people into classes for mutual help and</w:t>
      </w:r>
    </w:p>
    <w:p w14:paraId="61A187B5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edification.'</w:t>
      </w:r>
    </w:p>
    <w:p w14:paraId="0CE013E2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</w:rPr>
      </w:pPr>
      <w:r w:rsidRPr="00233F64">
        <w:rPr>
          <w:rFonts w:ascii="Times New Roman" w:hAnsi="Times New Roman" w:cs="Times New Roman"/>
          <w:color w:val="090909"/>
        </w:rPr>
        <w:t>He went on to predict:</w:t>
      </w:r>
    </w:p>
    <w:p w14:paraId="0B677283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Methodism will either retain her peculiarities (especially the class meeting) ...</w:t>
      </w:r>
    </w:p>
    <w:p w14:paraId="1AA0C1EA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 xml:space="preserve">or, ceasing to have a character of her own, she will range herself with the </w:t>
      </w:r>
      <w:proofErr w:type="spellStart"/>
      <w:r w:rsidRPr="00233F64">
        <w:rPr>
          <w:rFonts w:ascii="Times New Roman" w:hAnsi="Times New Roman" w:cs="Times New Roman"/>
          <w:color w:val="090909"/>
          <w:sz w:val="20"/>
          <w:szCs w:val="20"/>
        </w:rPr>
        <w:t>colourless</w:t>
      </w:r>
      <w:proofErr w:type="spellEnd"/>
    </w:p>
    <w:p w14:paraId="243BFBEF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churches that are Christian institutions and answer a Christian purpose, but the co-existence</w:t>
      </w:r>
    </w:p>
    <w:p w14:paraId="2C3CD611" w14:textId="77777777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0"/>
          <w:szCs w:val="20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of which side by side can be defended on no sound principle of economy, efficiency,</w:t>
      </w:r>
    </w:p>
    <w:p w14:paraId="13566105" w14:textId="34ED26A3" w:rsidR="00F41C23" w:rsidRPr="00233F64" w:rsidRDefault="00F41C23" w:rsidP="00233F6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 w:rsidRPr="00233F64">
        <w:rPr>
          <w:rFonts w:ascii="Times New Roman" w:hAnsi="Times New Roman" w:cs="Times New Roman"/>
          <w:color w:val="090909"/>
          <w:sz w:val="20"/>
          <w:szCs w:val="20"/>
        </w:rPr>
        <w:t>or need.</w:t>
      </w:r>
      <w:r w:rsidRPr="00233F64">
        <w:rPr>
          <w:rFonts w:ascii="Times New Roman" w:hAnsi="Times New Roman" w:cs="Times New Roman"/>
          <w:color w:val="090909"/>
          <w:sz w:val="6"/>
          <w:szCs w:val="6"/>
        </w:rPr>
        <w:t>2</w:t>
      </w:r>
    </w:p>
    <w:p w14:paraId="41CD5DDD" w14:textId="286DB4AF" w:rsidR="00196147" w:rsidRDefault="00196147" w:rsidP="00233F6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</w:p>
    <w:p w14:paraId="13B9643C" w14:textId="7AC5A885" w:rsidR="00717635" w:rsidRDefault="00717635" w:rsidP="00233F6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>
        <w:rPr>
          <w:rFonts w:ascii="Whitman-RomanLF" w:hAnsi="Whitman-RomanLF" w:cs="Whitman-RomanLF"/>
          <w:sz w:val="15"/>
          <w:szCs w:val="15"/>
        </w:rPr>
        <w:t>Causes for the decline, according to White:</w:t>
      </w:r>
    </w:p>
    <w:p w14:paraId="0BDEFDCA" w14:textId="04BAF173" w:rsidR="00717635" w:rsidRDefault="00717635" w:rsidP="00233F6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</w:p>
    <w:p w14:paraId="12CD6BB2" w14:textId="091078BA" w:rsidR="00717635" w:rsidRDefault="00532AE9" w:rsidP="00532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>
        <w:rPr>
          <w:rFonts w:ascii="Whitman-RomanLF" w:hAnsi="Whitman-RomanLF" w:cs="Whitman-RomanLF"/>
          <w:sz w:val="15"/>
          <w:szCs w:val="15"/>
        </w:rPr>
        <w:t>Harder to maintain discipline and standards as the denomination expanded</w:t>
      </w:r>
    </w:p>
    <w:p w14:paraId="57F42966" w14:textId="616813E5" w:rsidR="00532AE9" w:rsidRDefault="00E821AA" w:rsidP="00532A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>
        <w:rPr>
          <w:rFonts w:ascii="Whitman-RomanLF" w:hAnsi="Whitman-RomanLF" w:cs="Whitman-RomanLF"/>
          <w:sz w:val="15"/>
          <w:szCs w:val="15"/>
        </w:rPr>
        <w:t>The coming of the settled preacher</w:t>
      </w:r>
    </w:p>
    <w:p w14:paraId="2E800506" w14:textId="004D864F" w:rsidR="00377098" w:rsidRPr="00DE7A81" w:rsidRDefault="008F4485" w:rsidP="00DE7A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 w:rsidRPr="00DE7A81">
        <w:rPr>
          <w:rFonts w:ascii="Whitman-RomanLF" w:hAnsi="Whitman-RomanLF" w:cs="Whitman-RomanLF"/>
          <w:sz w:val="15"/>
          <w:szCs w:val="15"/>
        </w:rPr>
        <w:t>Increasing wealth and social status of many Methodists</w:t>
      </w:r>
    </w:p>
    <w:p w14:paraId="2E685CE4" w14:textId="77777777" w:rsidR="005A752B" w:rsidRPr="00DE7A81" w:rsidRDefault="003C6DE9" w:rsidP="00DE7A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 w:rsidRPr="00DE7A81">
        <w:rPr>
          <w:rFonts w:ascii="Whitman-RomanLF" w:hAnsi="Whitman-RomanLF" w:cs="Whitman-RomanLF"/>
          <w:sz w:val="15"/>
          <w:szCs w:val="15"/>
        </w:rPr>
        <w:t>a simplified and debased idea of conversion and growth. The most important</w:t>
      </w:r>
      <w:r w:rsidR="00377098" w:rsidRPr="00DE7A81">
        <w:rPr>
          <w:rFonts w:ascii="Whitman-RomanLF" w:hAnsi="Whitman-RomanLF" w:cs="Whitman-RomanLF"/>
          <w:sz w:val="15"/>
          <w:szCs w:val="15"/>
        </w:rPr>
        <w:t xml:space="preserve"> </w:t>
      </w:r>
      <w:r w:rsidRPr="00DE7A81">
        <w:rPr>
          <w:rFonts w:ascii="Whitman-RomanLF" w:hAnsi="Whitman-RomanLF" w:cs="Whitman-RomanLF"/>
          <w:sz w:val="15"/>
          <w:szCs w:val="15"/>
        </w:rPr>
        <w:t>part of Christianity was getting saved, and this experience as the greatest</w:t>
      </w:r>
      <w:r w:rsidR="00377098" w:rsidRPr="00DE7A81">
        <w:rPr>
          <w:rFonts w:ascii="Whitman-RomanLF" w:hAnsi="Whitman-RomanLF" w:cs="Whitman-RomanLF"/>
          <w:sz w:val="15"/>
          <w:szCs w:val="15"/>
        </w:rPr>
        <w:t xml:space="preserve"> </w:t>
      </w:r>
      <w:r w:rsidRPr="00DE7A81">
        <w:rPr>
          <w:rFonts w:ascii="Whitman-RomanLF" w:hAnsi="Whitman-RomanLF" w:cs="Whitman-RomanLF"/>
          <w:sz w:val="15"/>
          <w:szCs w:val="15"/>
        </w:rPr>
        <w:t>gift God gave to people in this life. Once they received it, it was their</w:t>
      </w:r>
      <w:r w:rsidR="006B672A" w:rsidRPr="00DE7A81">
        <w:rPr>
          <w:rFonts w:ascii="Whitman-RomanLF" w:hAnsi="Whitman-RomanLF" w:cs="Whitman-RomanLF"/>
          <w:sz w:val="15"/>
          <w:szCs w:val="15"/>
        </w:rPr>
        <w:t xml:space="preserve"> in</w:t>
      </w:r>
      <w:r w:rsidRPr="00DE7A81">
        <w:rPr>
          <w:rFonts w:ascii="Whitman-RomanLF" w:hAnsi="Whitman-RomanLF" w:cs="Whitman-RomanLF"/>
          <w:sz w:val="15"/>
          <w:szCs w:val="15"/>
        </w:rPr>
        <w:t>alienable possession. No matter how they subsequently acted, bliss was to</w:t>
      </w:r>
      <w:r w:rsidR="00377098" w:rsidRPr="00DE7A81">
        <w:rPr>
          <w:rFonts w:ascii="Whitman-RomanLF" w:hAnsi="Whitman-RomanLF" w:cs="Whitman-RomanLF"/>
          <w:sz w:val="15"/>
          <w:szCs w:val="15"/>
        </w:rPr>
        <w:t xml:space="preserve"> b</w:t>
      </w:r>
      <w:r w:rsidRPr="00DE7A81">
        <w:rPr>
          <w:rFonts w:ascii="Whitman-RomanLF" w:hAnsi="Whitman-RomanLF" w:cs="Whitman-RomanLF"/>
          <w:sz w:val="15"/>
          <w:szCs w:val="15"/>
        </w:rPr>
        <w:t>e theirs for eternity.</w:t>
      </w:r>
    </w:p>
    <w:p w14:paraId="46E767D0" w14:textId="77777777" w:rsidR="003D1F92" w:rsidRPr="00DE7A81" w:rsidRDefault="00C144F1" w:rsidP="00DE7A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 w:rsidRPr="00DE7A81">
        <w:rPr>
          <w:rFonts w:ascii="Whitman-RomanLF" w:hAnsi="Whitman-RomanLF" w:cs="Whitman-RomanLF"/>
          <w:sz w:val="15"/>
          <w:szCs w:val="15"/>
        </w:rPr>
        <w:t>The second major theological factor in the decline of the class meeting is the transition of Methodis</w:t>
      </w:r>
      <w:r w:rsidR="005A752B" w:rsidRPr="00DE7A81">
        <w:rPr>
          <w:rFonts w:ascii="Whitman-RomanLF" w:hAnsi="Whitman-RomanLF" w:cs="Whitman-RomanLF"/>
          <w:sz w:val="15"/>
          <w:szCs w:val="15"/>
        </w:rPr>
        <w:t xml:space="preserve">m </w:t>
      </w:r>
      <w:r w:rsidRPr="00DE7A81">
        <w:rPr>
          <w:rFonts w:ascii="Whitman-RomanLF" w:hAnsi="Whitman-RomanLF" w:cs="Whitman-RomanLF"/>
          <w:sz w:val="15"/>
          <w:szCs w:val="15"/>
        </w:rPr>
        <w:t xml:space="preserve">from a society within Anglicanism to a </w:t>
      </w:r>
      <w:proofErr w:type="gramStart"/>
      <w:r w:rsidRPr="00DE7A81">
        <w:rPr>
          <w:rFonts w:ascii="Whitman-RomanLF" w:hAnsi="Whitman-RomanLF" w:cs="Whitman-RomanLF"/>
          <w:sz w:val="15"/>
          <w:szCs w:val="15"/>
        </w:rPr>
        <w:t>church in its own right</w:t>
      </w:r>
      <w:proofErr w:type="gramEnd"/>
      <w:r w:rsidRPr="00DE7A81">
        <w:rPr>
          <w:rFonts w:ascii="Whitman-RomanLF" w:hAnsi="Whitman-RomanLF" w:cs="Whitman-RomanLF"/>
          <w:sz w:val="15"/>
          <w:szCs w:val="15"/>
        </w:rPr>
        <w:t>.</w:t>
      </w:r>
    </w:p>
    <w:p w14:paraId="56937E9D" w14:textId="04D547D5" w:rsidR="003D1F92" w:rsidRPr="00DE7A81" w:rsidRDefault="003D1F92" w:rsidP="00DE7A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  <w:r w:rsidRPr="00DE7A81">
        <w:rPr>
          <w:rFonts w:ascii="Whitman-RomanLF" w:hAnsi="Whitman-RomanLF" w:cs="Whitman-RomanLF"/>
          <w:sz w:val="15"/>
          <w:szCs w:val="15"/>
        </w:rPr>
        <w:t xml:space="preserve">A final theological factor in the decline of the class is liberalism. In both British and American Methodism during the 19th century there </w:t>
      </w:r>
      <w:r w:rsidR="00DA766C" w:rsidRPr="00DE7A81">
        <w:rPr>
          <w:rFonts w:ascii="Whitman-RomanLF" w:hAnsi="Whitman-RomanLF" w:cs="Whitman-RomanLF"/>
          <w:sz w:val="15"/>
          <w:szCs w:val="15"/>
        </w:rPr>
        <w:t>w</w:t>
      </w:r>
      <w:r w:rsidRPr="00DE7A81">
        <w:rPr>
          <w:rFonts w:ascii="Whitman-RomanLF" w:hAnsi="Whitman-RomanLF" w:cs="Whitman-RomanLF"/>
          <w:sz w:val="15"/>
          <w:szCs w:val="15"/>
        </w:rPr>
        <w:t>ere</w:t>
      </w:r>
      <w:r w:rsidR="00DA766C" w:rsidRPr="00DE7A81">
        <w:rPr>
          <w:rFonts w:ascii="Whitman-RomanLF" w:hAnsi="Whitman-RomanLF" w:cs="Whitman-RomanLF"/>
          <w:sz w:val="15"/>
          <w:szCs w:val="15"/>
        </w:rPr>
        <w:t xml:space="preserve"> </w:t>
      </w:r>
      <w:r w:rsidRPr="00DE7A81">
        <w:rPr>
          <w:rFonts w:ascii="Whitman-RomanLF" w:hAnsi="Whitman-RomanLF" w:cs="Whitman-RomanLF"/>
          <w:sz w:val="15"/>
          <w:szCs w:val="15"/>
        </w:rPr>
        <w:t>changes in the doctrines of the Bible, hell, original sin, and Christian perfection.</w:t>
      </w:r>
      <w:r w:rsidR="00DA766C" w:rsidRPr="00DE7A81">
        <w:rPr>
          <w:rFonts w:ascii="Whitman-RomanLF" w:hAnsi="Whitman-RomanLF" w:cs="Whitman-RomanLF"/>
          <w:sz w:val="15"/>
          <w:szCs w:val="15"/>
        </w:rPr>
        <w:t xml:space="preserve"> </w:t>
      </w:r>
      <w:r w:rsidRPr="00DE7A81">
        <w:rPr>
          <w:rFonts w:ascii="Whitman-RomanLF" w:hAnsi="Whitman-RomanLF" w:cs="Whitman-RomanLF"/>
          <w:sz w:val="15"/>
          <w:szCs w:val="15"/>
        </w:rPr>
        <w:t xml:space="preserve">These changes moved the churches away from </w:t>
      </w:r>
      <w:r w:rsidR="00DA766C" w:rsidRPr="00DE7A81">
        <w:rPr>
          <w:rFonts w:ascii="Whitman-RomanLF" w:hAnsi="Whitman-RomanLF" w:cs="Whitman-RomanLF"/>
          <w:sz w:val="15"/>
          <w:szCs w:val="15"/>
        </w:rPr>
        <w:t>t</w:t>
      </w:r>
      <w:r w:rsidRPr="00DE7A81">
        <w:rPr>
          <w:rFonts w:ascii="Whitman-RomanLF" w:hAnsi="Whitman-RomanLF" w:cs="Whitman-RomanLF"/>
          <w:sz w:val="15"/>
          <w:szCs w:val="15"/>
        </w:rPr>
        <w:t>he Wesleyan positions</w:t>
      </w:r>
      <w:r w:rsidR="00DA766C" w:rsidRPr="00DE7A81">
        <w:rPr>
          <w:rFonts w:ascii="Whitman-RomanLF" w:hAnsi="Whitman-RomanLF" w:cs="Whitman-RomanLF"/>
          <w:sz w:val="15"/>
          <w:szCs w:val="15"/>
        </w:rPr>
        <w:t xml:space="preserve"> </w:t>
      </w:r>
      <w:r w:rsidRPr="00DE7A81">
        <w:rPr>
          <w:rFonts w:ascii="Whitman-RomanLF" w:hAnsi="Whitman-RomanLF" w:cs="Whitman-RomanLF"/>
          <w:sz w:val="15"/>
          <w:szCs w:val="15"/>
        </w:rPr>
        <w:t>and toward a more liberal theology.</w:t>
      </w:r>
    </w:p>
    <w:p w14:paraId="10115330" w14:textId="77777777" w:rsidR="00377098" w:rsidRPr="00377098" w:rsidRDefault="00377098" w:rsidP="00377098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15"/>
          <w:szCs w:val="15"/>
        </w:rPr>
      </w:pPr>
    </w:p>
    <w:p w14:paraId="1D86661D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1:00–1:15 Transformation Question</w:t>
      </w:r>
    </w:p>
    <w:p w14:paraId="48083A9B" w14:textId="77777777" w:rsidR="00196147" w:rsidRDefault="00196147" w:rsidP="00196147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Describe a time when you felt closer to God as a result</w:t>
      </w:r>
    </w:p>
    <w:p w14:paraId="0EB4C63E" w14:textId="347D9976" w:rsidR="00DF59B4" w:rsidRPr="00196147" w:rsidRDefault="00196147" w:rsidP="00196147">
      <w:pPr>
        <w:rPr>
          <w:rFonts w:ascii="Whitman-RomanLF" w:hAnsi="Whitman-RomanLF" w:cs="Whitman-RomanLF"/>
          <w:sz w:val="12"/>
          <w:szCs w:val="12"/>
        </w:rPr>
      </w:pPr>
      <w:r>
        <w:rPr>
          <w:rFonts w:ascii="Whitman-RomanLF" w:hAnsi="Whitman-RomanLF" w:cs="Whitman-RomanLF"/>
          <w:sz w:val="21"/>
          <w:szCs w:val="21"/>
        </w:rPr>
        <w:t xml:space="preserve">of your participation in a small group. </w:t>
      </w:r>
      <w:proofErr w:type="gramStart"/>
      <w:r>
        <w:rPr>
          <w:rFonts w:ascii="Whitman-RomanLF" w:hAnsi="Whitman-RomanLF" w:cs="Whitman-RomanLF"/>
          <w:sz w:val="21"/>
          <w:szCs w:val="21"/>
        </w:rPr>
        <w:t>Or,</w:t>
      </w:r>
      <w:proofErr w:type="gramEnd"/>
      <w:r>
        <w:rPr>
          <w:rFonts w:ascii="Whitman-RomanLF" w:hAnsi="Whitman-RomanLF" w:cs="Whitman-RomanLF"/>
          <w:sz w:val="21"/>
          <w:szCs w:val="21"/>
        </w:rPr>
        <w:t xml:space="preserve"> describe a</w:t>
      </w:r>
      <w:r w:rsidR="00AE2048">
        <w:rPr>
          <w:rFonts w:ascii="Whitman-RomanLF" w:hAnsi="Whitman-RomanLF" w:cs="Whitman-RomanLF"/>
          <w:sz w:val="21"/>
          <w:szCs w:val="21"/>
        </w:rPr>
        <w:t xml:space="preserve"> </w:t>
      </w:r>
      <w:r w:rsidR="00DF59B4">
        <w:rPr>
          <w:rFonts w:ascii="Whitman-RomanLF" w:hAnsi="Whitman-RomanLF" w:cs="Whitman-RomanLF"/>
          <w:sz w:val="21"/>
          <w:szCs w:val="21"/>
        </w:rPr>
        <w:t>time when your faith was strengthened through an</w:t>
      </w:r>
    </w:p>
    <w:p w14:paraId="4825E541" w14:textId="77777777" w:rsidR="00DF59B4" w:rsidRDefault="00DF59B4" w:rsidP="00DF59B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lastRenderedPageBreak/>
        <w:t>interaction with another person (perhaps through</w:t>
      </w:r>
    </w:p>
    <w:p w14:paraId="70D8D94F" w14:textId="77777777" w:rsidR="00DF59B4" w:rsidRDefault="00DF59B4" w:rsidP="00DF59B4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conversations, prayer, or Bible study with a pastor,</w:t>
      </w:r>
    </w:p>
    <w:p w14:paraId="118673DA" w14:textId="04BBF25F" w:rsidR="00DF59B4" w:rsidRDefault="00DF59B4" w:rsidP="00DF59B4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mentor, or friend).</w:t>
      </w:r>
    </w:p>
    <w:p w14:paraId="394DD5DE" w14:textId="7A1277B1" w:rsidR="00DC691B" w:rsidRDefault="00DC691B" w:rsidP="00DF59B4">
      <w:pPr>
        <w:rPr>
          <w:rFonts w:ascii="Whitman-RomanLF" w:hAnsi="Whitman-RomanLF" w:cs="Whitman-RomanLF"/>
          <w:sz w:val="21"/>
          <w:szCs w:val="21"/>
        </w:rPr>
      </w:pPr>
    </w:p>
    <w:p w14:paraId="591140B0" w14:textId="77777777" w:rsidR="00235076" w:rsidRDefault="00DC691B" w:rsidP="00235076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40"/>
          <w:szCs w:val="40"/>
        </w:rPr>
      </w:pPr>
      <w:r>
        <w:rPr>
          <w:rFonts w:ascii="Whitman-RomanLF" w:hAnsi="Whitman-RomanLF" w:cs="Whitman-RomanLF"/>
          <w:sz w:val="21"/>
          <w:szCs w:val="21"/>
        </w:rPr>
        <w:t xml:space="preserve">Chapter 3:  </w:t>
      </w:r>
      <w:r w:rsidR="00235076">
        <w:rPr>
          <w:rFonts w:ascii="Neutraface2Text-Book" w:hAnsi="Neutraface2Text-Book" w:cs="Neutraface2Text-Book"/>
          <w:sz w:val="40"/>
          <w:szCs w:val="40"/>
        </w:rPr>
        <w:t>Moving into God’s House:</w:t>
      </w:r>
    </w:p>
    <w:p w14:paraId="05EB985A" w14:textId="77777777" w:rsidR="00235076" w:rsidRDefault="00235076" w:rsidP="00235076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40"/>
          <w:szCs w:val="40"/>
        </w:rPr>
      </w:pPr>
      <w:r>
        <w:rPr>
          <w:rFonts w:ascii="Neutraface2Text-Book" w:hAnsi="Neutraface2Text-Book" w:cs="Neutraface2Text-Book"/>
          <w:sz w:val="40"/>
          <w:szCs w:val="40"/>
        </w:rPr>
        <w:t>The Theological Foundation</w:t>
      </w:r>
    </w:p>
    <w:p w14:paraId="3186BD88" w14:textId="5395C58F" w:rsidR="00DC691B" w:rsidRDefault="00235076" w:rsidP="00235076">
      <w:r>
        <w:rPr>
          <w:rFonts w:ascii="Neutraface2Text-Book" w:hAnsi="Neutraface2Text-Book" w:cs="Neutraface2Text-Book"/>
          <w:sz w:val="40"/>
          <w:szCs w:val="40"/>
        </w:rPr>
        <w:t>of the Class Meeting</w:t>
      </w:r>
    </w:p>
    <w:p w14:paraId="1D62A3AA" w14:textId="77777777" w:rsidR="00CA18F0" w:rsidRDefault="00CA18F0" w:rsidP="00CA18F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“Our main doctrines,</w:t>
      </w:r>
    </w:p>
    <w:p w14:paraId="6C2D7BD6" w14:textId="77777777" w:rsidR="00CA18F0" w:rsidRDefault="00CA18F0" w:rsidP="00CA18F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which include all the rest, are three, that of repentance, of faith,</w:t>
      </w:r>
    </w:p>
    <w:p w14:paraId="27F4A91E" w14:textId="77777777" w:rsidR="00CA18F0" w:rsidRDefault="00CA18F0" w:rsidP="00CA18F0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and of holiness. The first of these we account, as it were, the</w:t>
      </w:r>
    </w:p>
    <w:p w14:paraId="33C8E48E" w14:textId="7008BEC9" w:rsidR="00842CD3" w:rsidRDefault="00CA18F0" w:rsidP="00CA18F0">
      <w:r>
        <w:rPr>
          <w:rFonts w:ascii="Whitman-RomanLF" w:hAnsi="Whitman-RomanLF" w:cs="Whitman-RomanLF"/>
          <w:sz w:val="21"/>
          <w:szCs w:val="21"/>
        </w:rPr>
        <w:t>porch of religion; the next, the door; the third is religion itself.”</w:t>
      </w:r>
      <w:r>
        <w:rPr>
          <w:rFonts w:ascii="Whitman-RomanLF" w:hAnsi="Whitman-RomanLF" w:cs="Whitman-RomanLF"/>
          <w:sz w:val="12"/>
          <w:szCs w:val="12"/>
        </w:rPr>
        <w:t>3</w:t>
      </w:r>
    </w:p>
    <w:p w14:paraId="7F402C38" w14:textId="77777777" w:rsidR="00842CD3" w:rsidRDefault="00842CD3" w:rsidP="00842CD3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>The Porch: Repenting of Sin</w:t>
      </w:r>
    </w:p>
    <w:p w14:paraId="5BED58E7" w14:textId="77777777" w:rsidR="00842CD3" w:rsidRDefault="00842CD3" w:rsidP="00842CD3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 starting point for John Wesley was that people are in desperate</w:t>
      </w:r>
    </w:p>
    <w:p w14:paraId="1878D650" w14:textId="567FF38B" w:rsidR="00842CD3" w:rsidRDefault="00842CD3" w:rsidP="00842CD3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need of salvation and that we cannot save ourselves.</w:t>
      </w:r>
    </w:p>
    <w:p w14:paraId="7265546D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 xml:space="preserve">Faith: </w:t>
      </w:r>
      <w:proofErr w:type="gramStart"/>
      <w:r>
        <w:rPr>
          <w:rFonts w:ascii="Neutraface2Text-Book" w:hAnsi="Neutraface2Text-Book" w:cs="Neutraface2Text-Book"/>
          <w:sz w:val="28"/>
          <w:szCs w:val="28"/>
        </w:rPr>
        <w:t>Entering into</w:t>
      </w:r>
      <w:proofErr w:type="gramEnd"/>
      <w:r>
        <w:rPr>
          <w:rFonts w:ascii="Neutraface2Text-Book" w:hAnsi="Neutraface2Text-Book" w:cs="Neutraface2Text-Book"/>
          <w:sz w:val="28"/>
          <w:szCs w:val="28"/>
        </w:rPr>
        <w:t xml:space="preserve"> Salvation in Christ</w:t>
      </w:r>
    </w:p>
    <w:p w14:paraId="3464D767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Once we have recognized the reality of our situation before God</w:t>
      </w:r>
    </w:p>
    <w:p w14:paraId="1BA8635C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and have decided to turn away from the sin in our lives, having</w:t>
      </w:r>
    </w:p>
    <w:p w14:paraId="25F88B34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stepped onto the porch of God’s house, what comes next?</w:t>
      </w:r>
    </w:p>
    <w:p w14:paraId="4B010801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After we recognize our need for salvation and our complete</w:t>
      </w:r>
    </w:p>
    <w:p w14:paraId="019CFE76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inability to be the source of our salvation, we can turn away</w:t>
      </w:r>
    </w:p>
    <w:p w14:paraId="7EDA9E26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from ourselves and turn to Christ in faith (and even this is only</w:t>
      </w:r>
    </w:p>
    <w:p w14:paraId="23F21B3B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possible by God’s grace). We can recognize the reality that God</w:t>
      </w:r>
    </w:p>
    <w:p w14:paraId="1A0B7C61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has already done everything in Christ that needs to be done in</w:t>
      </w:r>
    </w:p>
    <w:p w14:paraId="45AF55D4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order for us to be forgiven of our sins and reconciled to God. The</w:t>
      </w:r>
    </w:p>
    <w:p w14:paraId="727C6F84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theological term for the forgiveness of sins that comes through</w:t>
      </w:r>
    </w:p>
    <w:p w14:paraId="2D0386AD" w14:textId="300243C3" w:rsidR="00DE7A81" w:rsidRDefault="00DE7A81" w:rsidP="00DE7A81">
      <w:pPr>
        <w:rPr>
          <w:rFonts w:ascii="Whitman-ItalicLF" w:hAnsi="Whitman-ItalicLF" w:cs="Whitman-ItalicLF"/>
          <w:i/>
          <w:iCs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Jesus Christ is </w:t>
      </w:r>
      <w:r>
        <w:rPr>
          <w:rFonts w:ascii="Whitman-ItalicLF" w:hAnsi="Whitman-ItalicLF" w:cs="Whitman-ItalicLF"/>
          <w:i/>
          <w:iCs/>
          <w:sz w:val="21"/>
          <w:szCs w:val="21"/>
        </w:rPr>
        <w:t>justification</w:t>
      </w:r>
    </w:p>
    <w:p w14:paraId="13F67017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>New Birth: Crossing the Threshold</w:t>
      </w:r>
    </w:p>
    <w:p w14:paraId="7036EFE7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>of God’s House</w:t>
      </w:r>
    </w:p>
    <w:p w14:paraId="069E710D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Justification is by faith, and it is essentially the experience of being</w:t>
      </w:r>
    </w:p>
    <w:p w14:paraId="0763A437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forgiven of your past sins. But this experience is so profound that</w:t>
      </w:r>
    </w:p>
    <w:p w14:paraId="149F9711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it also leads to transformation. Forgiveness leads to a fresh start,</w:t>
      </w:r>
    </w:p>
    <w:p w14:paraId="49732CC9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one that is so all-encompassing that it is properly seen as a “new</w:t>
      </w:r>
    </w:p>
    <w:p w14:paraId="23482D26" w14:textId="61EE6BED" w:rsidR="00DE7A81" w:rsidRDefault="00DE7A81" w:rsidP="00DE7A81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birth.”</w:t>
      </w:r>
    </w:p>
    <w:p w14:paraId="34AD2072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>Growth in Holiness: Moving All of Your Life</w:t>
      </w:r>
    </w:p>
    <w:p w14:paraId="70C27BD8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8"/>
          <w:szCs w:val="28"/>
        </w:rPr>
      </w:pPr>
      <w:r>
        <w:rPr>
          <w:rFonts w:ascii="Neutraface2Text-Book" w:hAnsi="Neutraface2Text-Book" w:cs="Neutraface2Text-Book"/>
          <w:sz w:val="28"/>
          <w:szCs w:val="28"/>
        </w:rPr>
        <w:t>into God’s House</w:t>
      </w:r>
    </w:p>
    <w:p w14:paraId="701603C7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If repentance is the porch of God’s house, and faith is the door,</w:t>
      </w:r>
    </w:p>
    <w:p w14:paraId="179BE24E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 new birth is when you cross the threshold of God’s house,</w:t>
      </w:r>
    </w:p>
    <w:p w14:paraId="52458B4C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and holiness is the process of moving our lives completely into</w:t>
      </w:r>
    </w:p>
    <w:p w14:paraId="50FDCEF4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God’s house. In one of his best-known sermons, John Wesley</w:t>
      </w:r>
    </w:p>
    <w:p w14:paraId="33F95982" w14:textId="77777777" w:rsidR="00DE7A81" w:rsidRDefault="00DE7A81" w:rsidP="00DE7A81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put it this way, “At the same time that we are justified, yea, in</w:t>
      </w:r>
    </w:p>
    <w:p w14:paraId="27C0A215" w14:textId="7FEB9528" w:rsidR="00DE7A81" w:rsidRPr="00235076" w:rsidRDefault="00DE7A81" w:rsidP="00DE7A81">
      <w:r>
        <w:rPr>
          <w:rFonts w:ascii="Whitman-RomanLF" w:hAnsi="Whitman-RomanLF" w:cs="Whitman-RomanLF"/>
          <w:sz w:val="21"/>
          <w:szCs w:val="21"/>
        </w:rPr>
        <w:t xml:space="preserve">that very moment, </w:t>
      </w:r>
      <w:r>
        <w:rPr>
          <w:rFonts w:ascii="Whitman-ItalicLF" w:hAnsi="Whitman-ItalicLF" w:cs="Whitman-ItalicLF"/>
          <w:i/>
          <w:iCs/>
          <w:sz w:val="21"/>
          <w:szCs w:val="21"/>
        </w:rPr>
        <w:t xml:space="preserve">sanctification </w:t>
      </w:r>
      <w:r>
        <w:rPr>
          <w:rFonts w:ascii="Whitman-RomanLF" w:hAnsi="Whitman-RomanLF" w:cs="Whitman-RomanLF"/>
          <w:sz w:val="21"/>
          <w:szCs w:val="21"/>
        </w:rPr>
        <w:t>begins.”</w:t>
      </w:r>
      <w:r>
        <w:rPr>
          <w:rFonts w:ascii="Whitman-RomanLF" w:hAnsi="Whitman-RomanLF" w:cs="Whitman-RomanLF"/>
          <w:sz w:val="12"/>
          <w:szCs w:val="12"/>
        </w:rPr>
        <w:t>1</w:t>
      </w:r>
    </w:p>
    <w:p w14:paraId="670F4538" w14:textId="77777777" w:rsidR="00DC691B" w:rsidRDefault="00DC691B" w:rsidP="00DF59B4">
      <w:pPr>
        <w:rPr>
          <w:rFonts w:ascii="Whitman-RomanLF" w:hAnsi="Whitman-RomanLF" w:cs="Whitman-RomanLF"/>
          <w:sz w:val="21"/>
          <w:szCs w:val="21"/>
        </w:rPr>
      </w:pPr>
    </w:p>
    <w:p w14:paraId="3E579A2D" w14:textId="4C5EA142" w:rsidR="00DE7A81" w:rsidRDefault="00DE7A81" w:rsidP="00DE7A81">
      <w:p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 doctrine behind it all:</w:t>
      </w:r>
    </w:p>
    <w:p w14:paraId="655D3C2A" w14:textId="62ED3990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Human nature is perfectible by God’s grace</w:t>
      </w:r>
    </w:p>
    <w:p w14:paraId="41C634E9" w14:textId="28B77D40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Learning comes by doing the will of God</w:t>
      </w:r>
    </w:p>
    <w:p w14:paraId="224CBD05" w14:textId="606B9895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There is no holiness except social holiness</w:t>
      </w:r>
    </w:p>
    <w:p w14:paraId="1AC9746F" w14:textId="1F916F52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 spirit and practice of ancient Christianity can and must be recaptured</w:t>
      </w:r>
    </w:p>
    <w:p w14:paraId="29685270" w14:textId="00C7F21C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Human progress will occur if people participate in the “means of grace”</w:t>
      </w:r>
    </w:p>
    <w:p w14:paraId="119FD917" w14:textId="3A5F921D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The gospel must be presented to the poor</w:t>
      </w:r>
    </w:p>
    <w:p w14:paraId="7F753D45" w14:textId="7C9E08B8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Social evil is not to be </w:t>
      </w:r>
      <w:proofErr w:type="gramStart"/>
      <w:r>
        <w:rPr>
          <w:rFonts w:ascii="Whitman-RomanLF" w:hAnsi="Whitman-RomanLF" w:cs="Whitman-RomanLF"/>
          <w:sz w:val="21"/>
          <w:szCs w:val="21"/>
        </w:rPr>
        <w:t>resisted, but</w:t>
      </w:r>
      <w:proofErr w:type="gramEnd"/>
      <w:r>
        <w:rPr>
          <w:rFonts w:ascii="Whitman-RomanLF" w:hAnsi="Whitman-RomanLF" w:cs="Whitman-RomanLF"/>
          <w:sz w:val="21"/>
          <w:szCs w:val="21"/>
        </w:rPr>
        <w:t xml:space="preserve"> overcome with good.</w:t>
      </w:r>
    </w:p>
    <w:p w14:paraId="55C17C9E" w14:textId="588137B6" w:rsidR="00DE7A81" w:rsidRDefault="00DE7A81" w:rsidP="00DE7A81">
      <w:pPr>
        <w:pStyle w:val="ListParagraph"/>
        <w:numPr>
          <w:ilvl w:val="0"/>
          <w:numId w:val="6"/>
        </w:numPr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The primary function of spiritual/educational leadership is to equip others to lead and minister, not to perform the ministry personally </w:t>
      </w:r>
    </w:p>
    <w:p w14:paraId="70431868" w14:textId="08B550E8" w:rsidR="00DE7A81" w:rsidRPr="00DE7A81" w:rsidRDefault="00DE7A81" w:rsidP="00DE7A81">
      <w:pPr>
        <w:ind w:left="360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Henderson, 115-116.  </w:t>
      </w:r>
    </w:p>
    <w:p w14:paraId="26125895" w14:textId="6D0C2BB6" w:rsidR="005C52A5" w:rsidRDefault="005C52A5" w:rsidP="00DF59B4"/>
    <w:p w14:paraId="06F5E27A" w14:textId="1FFE3AAB" w:rsidR="00DE7A81" w:rsidRDefault="00DE7A81" w:rsidP="00DF59B4">
      <w:r>
        <w:t>Digression: ARMINIANISM VS CALVINISM</w:t>
      </w:r>
    </w:p>
    <w:p w14:paraId="771D739B" w14:textId="543F5E71" w:rsidR="006B4688" w:rsidRDefault="006B4688" w:rsidP="00DF59B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FC3560" wp14:editId="2BAE27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324725"/>
            <wp:effectExtent l="0" t="0" r="0" b="9525"/>
            <wp:wrapTopAndBottom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0093" w14:textId="35F47DCB" w:rsidR="006B4688" w:rsidRDefault="006B4688" w:rsidP="00DF59B4"/>
    <w:p w14:paraId="7F8AA5E4" w14:textId="25A0EEAE" w:rsidR="006B4688" w:rsidRDefault="006B4688" w:rsidP="00DF59B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Jacobus Arminius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(10 October 1560 – 19 October 1609), the </w:t>
      </w:r>
      <w:hyperlink r:id="rId6" w:tooltip="Latinisation (literature)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Latinized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name of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Jakob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Hermanszoon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hyperlink r:id="rId7" w:anchor="cite_note-1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[a]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was a </w:t>
      </w:r>
      <w:hyperlink r:id="rId8" w:tooltip="Netherlands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Dutch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tooltip="Christian theology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theologian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during the </w:t>
      </w:r>
      <w:hyperlink r:id="rId10" w:tooltip="Protestant Reformation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Protestant Reformation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period whose views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became the basis of </w:t>
      </w:r>
      <w:hyperlink r:id="rId11" w:tooltip="Arminianism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Arminianism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the Dutch </w:t>
      </w:r>
      <w:hyperlink r:id="rId12" w:tooltip="Remonstrant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Remonstrant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movement. He served from 1603 as professor in theology at the </w:t>
      </w:r>
      <w:hyperlink r:id="rId13" w:tooltip="University of Leiden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University of Leiden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wrote many books and treatises on theology. (Wikipedia)</w:t>
      </w:r>
    </w:p>
    <w:p w14:paraId="29F16261" w14:textId="2C57DC8F" w:rsidR="006B4688" w:rsidRDefault="006B4688" w:rsidP="00DF59B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41B53211" w14:textId="296039BF" w:rsidR="006B4688" w:rsidRPr="007E17A6" w:rsidRDefault="006B4688" w:rsidP="00DF59B4"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term "semi-Pelagianism", a 16th-century coinage, is considered a </w:t>
      </w:r>
      <w:hyperlink r:id="rId14" w:tooltip="Misnomer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misnomer</w:t>
        </w:r>
      </w:hyperlink>
      <w:hyperlink r:id="rId15" w:anchor="cite_note-FOOTNOTEWeaver2014xiv%E2%80%93xv-4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[4]</w:t>
        </w:r>
      </w:hyperlink>
      <w:hyperlink r:id="rId16" w:anchor="cite_note-term-5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[5]</w:t>
        </w:r>
      </w:hyperlink>
      <w:hyperlink r:id="rId17" w:anchor="cite_note-6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[6]</w:t>
        </w:r>
      </w:hyperlink>
      <w:hyperlink r:id="rId18" w:anchor="cite_note-7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[7]</w:t>
        </w:r>
      </w:hyperlink>
      <w:hyperlink r:id="rId19" w:anchor="cite_note-8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[8]</w:t>
        </w:r>
      </w:hyperlink>
      <w:hyperlink r:id="rId20" w:anchor="cite_note-Ogliari-9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[9]</w:t>
        </w:r>
      </w:hyperlink>
      <w:hyperlink r:id="rId21" w:anchor="cite_note-10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[10]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by scholars. Proposed alternatives include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Massilianism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semi-Augustinianism, anti-Augustinianism, and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antipredestinarianism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The historical theological dispute is also known as the Augustinian controversy.</w:t>
      </w:r>
      <w:hyperlink r:id="rId22" w:anchor="cite_note-FOOTNOTEWeaver2014xv-11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"Semi-Pelagianism" has frequently been used in a pejorative sense.</w:t>
      </w:r>
      <w:hyperlink r:id="rId23" w:anchor="cite_note-term-5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[5]</w:t>
        </w:r>
      </w:hyperlink>
      <w:hyperlink r:id="rId24" w:anchor="cite_note-12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[12]</w:t>
        </w:r>
      </w:hyperlink>
      <w:hyperlink r:id="rId25" w:anchor="cite_note-Ogliari-9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[9]</w:t>
        </w:r>
      </w:hyperlink>
    </w:p>
    <w:p w14:paraId="059D94DC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Neutraface2Text-Book" w:hAnsi="Neutraface2Text-Book" w:cs="Neutraface2Text-Book"/>
          <w:sz w:val="24"/>
          <w:szCs w:val="24"/>
        </w:rPr>
      </w:pPr>
      <w:r>
        <w:rPr>
          <w:rFonts w:ascii="Neutraface2Text-Book" w:hAnsi="Neutraface2Text-Book" w:cs="Neutraface2Text-Book"/>
          <w:sz w:val="24"/>
          <w:szCs w:val="24"/>
        </w:rPr>
        <w:t>Organization:</w:t>
      </w:r>
    </w:p>
    <w:p w14:paraId="09647B51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:00–:15 Informal Conversation</w:t>
      </w:r>
    </w:p>
    <w:p w14:paraId="6EDB7929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Open with a Prayer</w:t>
      </w:r>
    </w:p>
    <w:p w14:paraId="74C41693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:15–:55 Questions for Discussion</w:t>
      </w:r>
    </w:p>
    <w:p w14:paraId="21A2E8D6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1. What were your general thoughts or reactions to</w:t>
      </w:r>
    </w:p>
    <w:p w14:paraId="01CB0EB8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this chapter? Was anything particularly exciting or</w:t>
      </w:r>
    </w:p>
    <w:p w14:paraId="66006C6D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challenging to you? Why?</w:t>
      </w:r>
    </w:p>
    <w:p w14:paraId="394C8BA9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2. Which of these beliefs do you find easiest to affirm</w:t>
      </w:r>
    </w:p>
    <w:p w14:paraId="489698C1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or most central to being a Christian?</w:t>
      </w:r>
    </w:p>
    <w:p w14:paraId="546EED18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3. What ideas, if any, from this chapter were the most</w:t>
      </w:r>
    </w:p>
    <w:p w14:paraId="3E8A8869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difficult for you to follow or agree with? Why?</w:t>
      </w:r>
    </w:p>
    <w:p w14:paraId="63A0040D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4. Do you agree with Wesley’s understanding of</w:t>
      </w:r>
    </w:p>
    <w:p w14:paraId="0CC853BF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Christian perfection? Are there legitimate reasons</w:t>
      </w:r>
    </w:p>
    <w:p w14:paraId="7C4184E0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that holiness, or deep obedience to Christ, is</w:t>
      </w:r>
    </w:p>
    <w:p w14:paraId="789371F1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impossible? If so, why?</w:t>
      </w:r>
    </w:p>
    <w:p w14:paraId="4B873265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Neutraface2Text-Demi" w:hAnsi="Neutraface2Text-Demi" w:cs="Neutraface2Text-Demi"/>
        </w:rPr>
      </w:pPr>
      <w:r>
        <w:rPr>
          <w:rFonts w:ascii="Neutraface2Text-Demi" w:hAnsi="Neutraface2Text-Demi" w:cs="Neutraface2Text-Demi"/>
        </w:rPr>
        <w:t>:55-1:15 Transformation Question</w:t>
      </w:r>
    </w:p>
    <w:p w14:paraId="1CA532AC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 xml:space="preserve">Can you tell a story of when you (or someone you </w:t>
      </w:r>
      <w:proofErr w:type="gramStart"/>
      <w:r>
        <w:rPr>
          <w:rFonts w:ascii="Whitman-RomanLF" w:hAnsi="Whitman-RomanLF" w:cs="Whitman-RomanLF"/>
          <w:sz w:val="21"/>
          <w:szCs w:val="21"/>
        </w:rPr>
        <w:t>have</w:t>
      </w:r>
      <w:proofErr w:type="gramEnd"/>
    </w:p>
    <w:p w14:paraId="0895AC22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observed) stepped onto the porch of God’s house,</w:t>
      </w:r>
    </w:p>
    <w:p w14:paraId="70F937F1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crossed the threshold into God’s house, or moved</w:t>
      </w:r>
    </w:p>
    <w:p w14:paraId="23E3FD1B" w14:textId="77777777" w:rsidR="00646EFD" w:rsidRDefault="00646EFD" w:rsidP="00646EFD">
      <w:pPr>
        <w:autoSpaceDE w:val="0"/>
        <w:autoSpaceDN w:val="0"/>
        <w:adjustRightInd w:val="0"/>
        <w:spacing w:after="0" w:line="240" w:lineRule="auto"/>
        <w:rPr>
          <w:rFonts w:ascii="Whitman-RomanLF" w:hAnsi="Whitman-RomanLF" w:cs="Whitman-RomanLF"/>
          <w:sz w:val="21"/>
          <w:szCs w:val="21"/>
        </w:rPr>
      </w:pPr>
      <w:r>
        <w:rPr>
          <w:rFonts w:ascii="Whitman-RomanLF" w:hAnsi="Whitman-RomanLF" w:cs="Whitman-RomanLF"/>
          <w:sz w:val="21"/>
          <w:szCs w:val="21"/>
        </w:rPr>
        <w:t>your life more completely into God’s house?</w:t>
      </w:r>
    </w:p>
    <w:p w14:paraId="42396498" w14:textId="7C71C5A7" w:rsidR="007E17A6" w:rsidRPr="00912766" w:rsidRDefault="00646EFD" w:rsidP="00646EFD">
      <w:r>
        <w:rPr>
          <w:rFonts w:ascii="Neutraface2Text-Demi" w:hAnsi="Neutraface2Text-Demi" w:cs="Neutraface2Text-Demi"/>
        </w:rPr>
        <w:t>Close with a Prayer</w:t>
      </w:r>
    </w:p>
    <w:sectPr w:rsidR="007E17A6" w:rsidRPr="0091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man-RomanL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2Tex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2Tex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man-ItalicL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320"/>
    <w:multiLevelType w:val="hybridMultilevel"/>
    <w:tmpl w:val="AC3E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1314"/>
    <w:multiLevelType w:val="hybridMultilevel"/>
    <w:tmpl w:val="44C6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FD8"/>
    <w:multiLevelType w:val="hybridMultilevel"/>
    <w:tmpl w:val="13B4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1CD5"/>
    <w:multiLevelType w:val="hybridMultilevel"/>
    <w:tmpl w:val="89B2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42EDA"/>
    <w:multiLevelType w:val="hybridMultilevel"/>
    <w:tmpl w:val="F07A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B4CD0"/>
    <w:multiLevelType w:val="hybridMultilevel"/>
    <w:tmpl w:val="437A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88"/>
    <w:rsid w:val="00001673"/>
    <w:rsid w:val="00187BB2"/>
    <w:rsid w:val="00196147"/>
    <w:rsid w:val="001D6563"/>
    <w:rsid w:val="001E4FD5"/>
    <w:rsid w:val="00233F64"/>
    <w:rsid w:val="00235076"/>
    <w:rsid w:val="002900DD"/>
    <w:rsid w:val="00377098"/>
    <w:rsid w:val="003C6DE9"/>
    <w:rsid w:val="003D1F92"/>
    <w:rsid w:val="0040435D"/>
    <w:rsid w:val="004111AB"/>
    <w:rsid w:val="00413003"/>
    <w:rsid w:val="00443737"/>
    <w:rsid w:val="00514762"/>
    <w:rsid w:val="00532AE9"/>
    <w:rsid w:val="005737E8"/>
    <w:rsid w:val="00590919"/>
    <w:rsid w:val="005A18F9"/>
    <w:rsid w:val="005A752B"/>
    <w:rsid w:val="005C52A5"/>
    <w:rsid w:val="00646EFD"/>
    <w:rsid w:val="006A2ED3"/>
    <w:rsid w:val="006B4688"/>
    <w:rsid w:val="006B672A"/>
    <w:rsid w:val="006E2415"/>
    <w:rsid w:val="00717635"/>
    <w:rsid w:val="00734760"/>
    <w:rsid w:val="00765504"/>
    <w:rsid w:val="00783C4B"/>
    <w:rsid w:val="007E17A6"/>
    <w:rsid w:val="008217C9"/>
    <w:rsid w:val="00842CD3"/>
    <w:rsid w:val="0087777D"/>
    <w:rsid w:val="00894BD0"/>
    <w:rsid w:val="008E56BE"/>
    <w:rsid w:val="008F21EC"/>
    <w:rsid w:val="008F4485"/>
    <w:rsid w:val="00912766"/>
    <w:rsid w:val="00963B49"/>
    <w:rsid w:val="009D7EAA"/>
    <w:rsid w:val="009E0A20"/>
    <w:rsid w:val="00A46503"/>
    <w:rsid w:val="00A47098"/>
    <w:rsid w:val="00A7012C"/>
    <w:rsid w:val="00A92414"/>
    <w:rsid w:val="00AB2B64"/>
    <w:rsid w:val="00AE2048"/>
    <w:rsid w:val="00B10AA7"/>
    <w:rsid w:val="00B37DFF"/>
    <w:rsid w:val="00B4286E"/>
    <w:rsid w:val="00B9106C"/>
    <w:rsid w:val="00BE5E46"/>
    <w:rsid w:val="00C13EEF"/>
    <w:rsid w:val="00C144F1"/>
    <w:rsid w:val="00C308F7"/>
    <w:rsid w:val="00C80D0F"/>
    <w:rsid w:val="00C913D4"/>
    <w:rsid w:val="00CA18F0"/>
    <w:rsid w:val="00CB16B9"/>
    <w:rsid w:val="00CC1ED9"/>
    <w:rsid w:val="00D74B1B"/>
    <w:rsid w:val="00DA766C"/>
    <w:rsid w:val="00DB4C4E"/>
    <w:rsid w:val="00DC691B"/>
    <w:rsid w:val="00DD7F88"/>
    <w:rsid w:val="00DE7A81"/>
    <w:rsid w:val="00DF59B4"/>
    <w:rsid w:val="00E32740"/>
    <w:rsid w:val="00E44429"/>
    <w:rsid w:val="00E821AA"/>
    <w:rsid w:val="00E8379E"/>
    <w:rsid w:val="00EB6E65"/>
    <w:rsid w:val="00F04D51"/>
    <w:rsid w:val="00F41C23"/>
    <w:rsid w:val="00F60C8B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4CE5"/>
  <w15:chartTrackingRefBased/>
  <w15:docId w15:val="{9D05D444-C6CE-4065-8018-7854737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2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1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1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B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therlands" TargetMode="External"/><Relationship Id="rId13" Type="http://schemas.openxmlformats.org/officeDocument/2006/relationships/hyperlink" Target="https://en.wikipedia.org/wiki/University_of_Leiden" TargetMode="External"/><Relationship Id="rId18" Type="http://schemas.openxmlformats.org/officeDocument/2006/relationships/hyperlink" Target="https://en.wikipedia.org/wiki/Semi-Pelagianis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emi-Pelagianism" TargetMode="External"/><Relationship Id="rId7" Type="http://schemas.openxmlformats.org/officeDocument/2006/relationships/hyperlink" Target="https://en.wikipedia.org/wiki/Jacobus_Arminius" TargetMode="External"/><Relationship Id="rId12" Type="http://schemas.openxmlformats.org/officeDocument/2006/relationships/hyperlink" Target="https://en.wikipedia.org/wiki/Remonstrant" TargetMode="External"/><Relationship Id="rId17" Type="http://schemas.openxmlformats.org/officeDocument/2006/relationships/hyperlink" Target="https://en.wikipedia.org/wiki/Semi-Pelagianism" TargetMode="External"/><Relationship Id="rId25" Type="http://schemas.openxmlformats.org/officeDocument/2006/relationships/hyperlink" Target="https://en.wikipedia.org/wiki/Semi-Pelagian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emi-Pelagianism" TargetMode="External"/><Relationship Id="rId20" Type="http://schemas.openxmlformats.org/officeDocument/2006/relationships/hyperlink" Target="https://en.wikipedia.org/wiki/Semi-Pelagian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atinisation_(literature)" TargetMode="External"/><Relationship Id="rId11" Type="http://schemas.openxmlformats.org/officeDocument/2006/relationships/hyperlink" Target="https://en.wikipedia.org/wiki/Arminianism" TargetMode="External"/><Relationship Id="rId24" Type="http://schemas.openxmlformats.org/officeDocument/2006/relationships/hyperlink" Target="https://en.wikipedia.org/wiki/Semi-Pelagianis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n.wikipedia.org/wiki/Semi-Pelagianism" TargetMode="External"/><Relationship Id="rId23" Type="http://schemas.openxmlformats.org/officeDocument/2006/relationships/hyperlink" Target="https://en.wikipedia.org/wiki/Semi-Pelagianism" TargetMode="External"/><Relationship Id="rId10" Type="http://schemas.openxmlformats.org/officeDocument/2006/relationships/hyperlink" Target="https://en.wikipedia.org/wiki/Protestant_Reformation" TargetMode="External"/><Relationship Id="rId19" Type="http://schemas.openxmlformats.org/officeDocument/2006/relationships/hyperlink" Target="https://en.wikipedia.org/wiki/Semi-Pelagian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hristian_theology" TargetMode="External"/><Relationship Id="rId14" Type="http://schemas.openxmlformats.org/officeDocument/2006/relationships/hyperlink" Target="https://en.wikipedia.org/wiki/Misnomer" TargetMode="External"/><Relationship Id="rId22" Type="http://schemas.openxmlformats.org/officeDocument/2006/relationships/hyperlink" Target="https://en.wikipedia.org/wiki/Semi-Pelagianis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Dionne</dc:creator>
  <cp:keywords/>
  <dc:description/>
  <cp:lastModifiedBy>Daniel Dionne</cp:lastModifiedBy>
  <cp:revision>75</cp:revision>
  <dcterms:created xsi:type="dcterms:W3CDTF">2021-09-28T19:16:00Z</dcterms:created>
  <dcterms:modified xsi:type="dcterms:W3CDTF">2021-10-12T17:55:00Z</dcterms:modified>
</cp:coreProperties>
</file>